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18741" w14:textId="526A694F" w:rsidR="00750C02" w:rsidRPr="00750C02" w:rsidRDefault="00750C02" w:rsidP="00750C02">
      <w:pPr>
        <w:jc w:val="center"/>
        <w:rPr>
          <w:b/>
          <w:bCs/>
          <w:sz w:val="28"/>
          <w:szCs w:val="28"/>
        </w:rPr>
      </w:pPr>
      <w:r w:rsidRPr="00750C02">
        <w:rPr>
          <w:b/>
          <w:bCs/>
          <w:sz w:val="28"/>
          <w:szCs w:val="28"/>
        </w:rPr>
        <w:t>Hướng dẫn người nộp thuế điện tử trên ứng dụng eTax Mobile</w:t>
      </w:r>
    </w:p>
    <w:p w14:paraId="5AD0AE58" w14:textId="77777777" w:rsidR="00750C02" w:rsidRPr="00750C02" w:rsidRDefault="00750C02" w:rsidP="00750C02">
      <w:pPr>
        <w:ind w:firstLine="720"/>
        <w:jc w:val="both"/>
        <w:rPr>
          <w:sz w:val="28"/>
          <w:szCs w:val="28"/>
        </w:rPr>
      </w:pPr>
      <w:r w:rsidRPr="00750C02">
        <w:rPr>
          <w:b/>
          <w:bCs/>
          <w:sz w:val="28"/>
          <w:szCs w:val="28"/>
        </w:rPr>
        <w:t>Với mục tiêu tạo điều kiện thuận lợi nhất để người nộp thuế là cá nhân (NNT) thực hiện tốt chính sách pháp luật thuế, ngành Thuế đã triển khai cung cấp ứng dụng Thuế điện tử dành cho cá nhân sử dụng trên thiết bị di động với tên gọi “eTax Mobile”.</w:t>
      </w:r>
    </w:p>
    <w:p w14:paraId="12BD5684" w14:textId="77777777" w:rsidR="00750C02" w:rsidRPr="00750C02" w:rsidRDefault="00750C02" w:rsidP="00750C02">
      <w:pPr>
        <w:ind w:firstLine="720"/>
        <w:jc w:val="both"/>
        <w:rPr>
          <w:sz w:val="28"/>
          <w:szCs w:val="28"/>
        </w:rPr>
      </w:pPr>
      <w:r w:rsidRPr="00750C02">
        <w:rPr>
          <w:sz w:val="28"/>
          <w:szCs w:val="28"/>
        </w:rPr>
        <w:t>Ứng dụng eTax Mobile là ứng dụng có nhiều ưu điểm, mang lại nhiều lợi ích cho người nộp thuế trong việc thực hiện nghĩa vụ thuế. Thao tác sử dụng eTax Mobile đơn giản, mọi lúc mọi nơi, với các tính năng tiện ích. Thông qua việc sử dụng ứng dụng này người nộp thuế là cá nhân, cá nhân kinh doanh và hộ kinh doanh có thể nhanh chóng, dễ dàng tra cứu hồ sơ khai thuế, thông tin nghĩa vụ thuế và nộp thuế điện tử mọi lúc, mọi nơi trên thiết bị điện thoại thông minh có kết nối Internet.</w:t>
      </w:r>
    </w:p>
    <w:p w14:paraId="04ACB2B0" w14:textId="77777777" w:rsidR="00750C02" w:rsidRPr="00750C02" w:rsidRDefault="00750C02" w:rsidP="00750C02">
      <w:pPr>
        <w:jc w:val="both"/>
        <w:rPr>
          <w:sz w:val="28"/>
          <w:szCs w:val="28"/>
        </w:rPr>
      </w:pPr>
      <w:r w:rsidRPr="00750C02">
        <w:rPr>
          <w:sz w:val="28"/>
          <w:szCs w:val="28"/>
        </w:rPr>
        <w:t>Với ứng dụng eTax Mobile, người nộp thuế sẽ được trải nghiệm các tính năng:</w:t>
      </w:r>
    </w:p>
    <w:p w14:paraId="704FCE45" w14:textId="77777777" w:rsidR="00750C02" w:rsidRPr="00750C02" w:rsidRDefault="00750C02" w:rsidP="00750C02">
      <w:pPr>
        <w:jc w:val="both"/>
        <w:rPr>
          <w:sz w:val="28"/>
          <w:szCs w:val="28"/>
        </w:rPr>
      </w:pPr>
      <w:r w:rsidRPr="00750C02">
        <w:rPr>
          <w:sz w:val="28"/>
          <w:szCs w:val="28"/>
        </w:rPr>
        <w:t>- Đăng ký mở tài khoản giao dịch thuế điện tử với cơ quan thuế.</w:t>
      </w:r>
    </w:p>
    <w:p w14:paraId="40A92015" w14:textId="77777777" w:rsidR="00750C02" w:rsidRPr="00750C02" w:rsidRDefault="00750C02" w:rsidP="00750C02">
      <w:pPr>
        <w:jc w:val="both"/>
        <w:rPr>
          <w:sz w:val="28"/>
          <w:szCs w:val="28"/>
        </w:rPr>
      </w:pPr>
      <w:r w:rsidRPr="00750C02">
        <w:rPr>
          <w:sz w:val="28"/>
          <w:szCs w:val="28"/>
        </w:rPr>
        <w:t>- Tra cứu nghĩa vụ thuế thu nhập cá nhân; lệ phí trước bạ; thuế sử dụng đất Phi nông nghiệp; Nghĩa vụ tài chính về đất; Phí; Lệ phí…</w:t>
      </w:r>
    </w:p>
    <w:p w14:paraId="33409893" w14:textId="77777777" w:rsidR="00750C02" w:rsidRPr="00750C02" w:rsidRDefault="00750C02" w:rsidP="00750C02">
      <w:pPr>
        <w:jc w:val="both"/>
        <w:rPr>
          <w:sz w:val="28"/>
          <w:szCs w:val="28"/>
        </w:rPr>
      </w:pPr>
      <w:r w:rsidRPr="00750C02">
        <w:rPr>
          <w:sz w:val="28"/>
          <w:szCs w:val="28"/>
        </w:rPr>
        <w:t>- Nộp thuế điện tử thông qua kết nối, tích hợp trực tuyến với hệ thống các Ngân hàng thương mại.</w:t>
      </w:r>
    </w:p>
    <w:p w14:paraId="502A1C2A" w14:textId="77777777" w:rsidR="00750C02" w:rsidRPr="00750C02" w:rsidRDefault="00750C02" w:rsidP="00750C02">
      <w:pPr>
        <w:jc w:val="both"/>
        <w:rPr>
          <w:sz w:val="28"/>
          <w:szCs w:val="28"/>
        </w:rPr>
      </w:pPr>
      <w:r w:rsidRPr="00750C02">
        <w:rPr>
          <w:sz w:val="28"/>
          <w:szCs w:val="28"/>
        </w:rPr>
        <w:t>- Tra cứu Hồ sơ khai thuế; Quyết toán thuế; Thông tin người nộp thuế; Thông tin người phụ thuộc và một số các tiện ích khác cho người nộp thuế.</w:t>
      </w:r>
    </w:p>
    <w:p w14:paraId="7A874C26" w14:textId="77777777" w:rsidR="00750C02" w:rsidRPr="00750C02" w:rsidRDefault="00750C02" w:rsidP="00750C02">
      <w:pPr>
        <w:ind w:firstLine="720"/>
        <w:jc w:val="both"/>
        <w:rPr>
          <w:sz w:val="28"/>
          <w:szCs w:val="28"/>
        </w:rPr>
      </w:pPr>
      <w:r w:rsidRPr="00750C02">
        <w:rPr>
          <w:sz w:val="28"/>
          <w:szCs w:val="28"/>
        </w:rPr>
        <w:t>Hiện tại, Tổng cục Thuế đã nâng cấp ứng dụng eTax Mobile đáp ứng liên kết tài khoản ngân hàng và nộp thuế trên ứng dụng eTax Mobile. NNT sẽ sử dụng ứng dụng eTax Mobile để liên kết với tài khoản NNT đã mở tại các ngân hàng thương mại (NHTM), thực hiện nộp và nhận chứng từ điện tử trực tiếp trên giao diện của ứng dụng eTax Mobile. Đến nay đã có 16 Ngân hàng thương mại kết nối liên kết tài khoản. Trong thời gian tới, Tổng cục Thuế tiếp tục làm việc với các ngân hàng thương mại còn lại phối hợp với Tổng cục Thuế trong việc liên kết tài khoản cho cá nhân nhằm tạo thuận lợi nhất cho NNT trong thực hiện các dịch vụ thuế điện tử.</w:t>
      </w:r>
    </w:p>
    <w:p w14:paraId="3381464A" w14:textId="77777777" w:rsidR="00750C02" w:rsidRPr="00750C02" w:rsidRDefault="00750C02" w:rsidP="00750C02">
      <w:pPr>
        <w:jc w:val="both"/>
        <w:rPr>
          <w:sz w:val="28"/>
          <w:szCs w:val="28"/>
        </w:rPr>
      </w:pPr>
      <w:r w:rsidRPr="00750C02">
        <w:rPr>
          <w:b/>
          <w:bCs/>
          <w:sz w:val="28"/>
          <w:szCs w:val="28"/>
        </w:rPr>
        <w:t>Chi tiết Hướng dẫn người nộp thuế là cá nhân nộp thuế điện tử trên ứng dụng eTax Mobile thông qua liên kết với tài khoản ngân hàng thương mại:</w:t>
      </w:r>
    </w:p>
    <w:p w14:paraId="017261B9" w14:textId="77777777" w:rsidR="00750C02" w:rsidRPr="00750C02" w:rsidRDefault="00750C02" w:rsidP="00750C02">
      <w:pPr>
        <w:jc w:val="both"/>
        <w:rPr>
          <w:sz w:val="28"/>
          <w:szCs w:val="28"/>
        </w:rPr>
      </w:pPr>
      <w:bookmarkStart w:id="0" w:name="_Toc110945889"/>
      <w:r w:rsidRPr="00750C02">
        <w:rPr>
          <w:b/>
          <w:bCs/>
          <w:sz w:val="28"/>
          <w:szCs w:val="28"/>
        </w:rPr>
        <w:t>Bước 1:</w:t>
      </w:r>
      <w:bookmarkEnd w:id="0"/>
      <w:r w:rsidRPr="00750C02">
        <w:rPr>
          <w:sz w:val="28"/>
          <w:szCs w:val="28"/>
        </w:rPr>
        <w:t xml:space="preserve"> Đăng nhập vào ứng dụng eTax Mobile</w:t>
      </w:r>
    </w:p>
    <w:p w14:paraId="1C1BABB5" w14:textId="77777777" w:rsidR="00750C02" w:rsidRPr="00750C02" w:rsidRDefault="00750C02" w:rsidP="00750C02">
      <w:pPr>
        <w:jc w:val="both"/>
        <w:rPr>
          <w:sz w:val="28"/>
          <w:szCs w:val="28"/>
        </w:rPr>
      </w:pPr>
      <w:r w:rsidRPr="00750C02">
        <w:rPr>
          <w:sz w:val="28"/>
          <w:szCs w:val="28"/>
        </w:rPr>
        <w:t>Cá nhân (NNT) đã có tài khoản giao dịch điện tử với cơ quan thuế thực hiện đăng nhập vào ứng dụng eTax Mobile bằng cách nhập “Mã số thuế” và “Mật khẩu”.</w:t>
      </w:r>
    </w:p>
    <w:p w14:paraId="6C970CC1" w14:textId="73337A1D" w:rsidR="00750C02" w:rsidRPr="00750C02" w:rsidRDefault="00750C02" w:rsidP="00750C02">
      <w:pPr>
        <w:jc w:val="both"/>
        <w:rPr>
          <w:sz w:val="28"/>
          <w:szCs w:val="28"/>
        </w:rPr>
      </w:pPr>
      <w:r w:rsidRPr="00750C02">
        <w:rPr>
          <w:sz w:val="28"/>
          <w:szCs w:val="28"/>
        </w:rPr>
        <w:lastRenderedPageBreak/>
        <w:drawing>
          <wp:inline distT="0" distB="0" distL="0" distR="0" wp14:anchorId="449CFD65" wp14:editId="664B561D">
            <wp:extent cx="5733415" cy="7616825"/>
            <wp:effectExtent l="0" t="0" r="635" b="3175"/>
            <wp:docPr id="124399335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3415" cy="7616825"/>
                    </a:xfrm>
                    <a:prstGeom prst="rect">
                      <a:avLst/>
                    </a:prstGeom>
                    <a:noFill/>
                    <a:ln>
                      <a:noFill/>
                    </a:ln>
                  </pic:spPr>
                </pic:pic>
              </a:graphicData>
            </a:graphic>
          </wp:inline>
        </w:drawing>
      </w:r>
      <w:r w:rsidRPr="00750C02">
        <w:rPr>
          <w:sz w:val="28"/>
          <w:szCs w:val="28"/>
        </w:rPr>
        <w:br/>
        <w:t> </w:t>
      </w:r>
    </w:p>
    <w:p w14:paraId="79D130D3" w14:textId="77777777" w:rsidR="00750C02" w:rsidRPr="00750C02" w:rsidRDefault="00750C02" w:rsidP="00750C02">
      <w:pPr>
        <w:jc w:val="both"/>
        <w:rPr>
          <w:sz w:val="28"/>
          <w:szCs w:val="28"/>
        </w:rPr>
      </w:pPr>
      <w:r w:rsidRPr="00750C02">
        <w:rPr>
          <w:sz w:val="28"/>
          <w:szCs w:val="28"/>
        </w:rPr>
        <w:t>Sau khi chọn “Đăng nhập”, màn hình hiển thị giao diện như sau:</w:t>
      </w:r>
    </w:p>
    <w:p w14:paraId="694AF5AD" w14:textId="0FFE7FBE" w:rsidR="00750C02" w:rsidRPr="00750C02" w:rsidRDefault="00750C02" w:rsidP="00750C02">
      <w:pPr>
        <w:jc w:val="both"/>
        <w:rPr>
          <w:sz w:val="28"/>
          <w:szCs w:val="28"/>
        </w:rPr>
      </w:pPr>
      <w:r w:rsidRPr="00750C02">
        <w:rPr>
          <w:sz w:val="28"/>
          <w:szCs w:val="28"/>
        </w:rPr>
        <w:drawing>
          <wp:inline distT="0" distB="0" distL="0" distR="0" wp14:anchorId="55B1DD96" wp14:editId="5FDBD81B">
            <wp:extent cx="4622800" cy="8860790"/>
            <wp:effectExtent l="0" t="0" r="6350" b="0"/>
            <wp:docPr id="160489789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2800" cy="8860790"/>
                    </a:xfrm>
                    <a:prstGeom prst="rect">
                      <a:avLst/>
                    </a:prstGeom>
                    <a:noFill/>
                    <a:ln>
                      <a:noFill/>
                    </a:ln>
                  </pic:spPr>
                </pic:pic>
              </a:graphicData>
            </a:graphic>
          </wp:inline>
        </w:drawing>
      </w:r>
      <w:r w:rsidRPr="00750C02">
        <w:rPr>
          <w:sz w:val="28"/>
          <w:szCs w:val="28"/>
        </w:rPr>
        <w:br/>
        <w:t> </w:t>
      </w:r>
    </w:p>
    <w:p w14:paraId="7BBFE4C1" w14:textId="77777777" w:rsidR="00750C02" w:rsidRPr="00750C02" w:rsidRDefault="00750C02" w:rsidP="00750C02">
      <w:pPr>
        <w:jc w:val="both"/>
        <w:rPr>
          <w:sz w:val="28"/>
          <w:szCs w:val="28"/>
        </w:rPr>
      </w:pPr>
      <w:bookmarkStart w:id="1" w:name="_Toc110945890"/>
      <w:r w:rsidRPr="00750C02">
        <w:rPr>
          <w:b/>
          <w:bCs/>
          <w:sz w:val="28"/>
          <w:szCs w:val="28"/>
        </w:rPr>
        <w:t>Bước 2:</w:t>
      </w:r>
      <w:bookmarkEnd w:id="1"/>
      <w:r w:rsidRPr="00750C02">
        <w:rPr>
          <w:sz w:val="28"/>
          <w:szCs w:val="28"/>
        </w:rPr>
        <w:t xml:space="preserve"> Liên kết tài khoản ngân hàng</w:t>
      </w:r>
    </w:p>
    <w:p w14:paraId="0BB7CA6F" w14:textId="77777777" w:rsidR="00750C02" w:rsidRPr="00750C02" w:rsidRDefault="00750C02" w:rsidP="00750C02">
      <w:pPr>
        <w:jc w:val="both"/>
        <w:rPr>
          <w:sz w:val="28"/>
          <w:szCs w:val="28"/>
        </w:rPr>
      </w:pPr>
      <w:r w:rsidRPr="00750C02">
        <w:rPr>
          <w:sz w:val="28"/>
          <w:szCs w:val="28"/>
        </w:rPr>
        <w:t>NNT chọn chức năng “Liên kết tài khoản” mục menu “NỘP THUẾ” trên màn hình chính, như hình sau:</w:t>
      </w:r>
    </w:p>
    <w:p w14:paraId="24DDC3CA" w14:textId="04B593AB" w:rsidR="00750C02" w:rsidRPr="00750C02" w:rsidRDefault="00750C02" w:rsidP="00750C02">
      <w:pPr>
        <w:jc w:val="both"/>
        <w:rPr>
          <w:sz w:val="28"/>
          <w:szCs w:val="28"/>
        </w:rPr>
      </w:pPr>
      <w:r w:rsidRPr="00750C02">
        <w:rPr>
          <w:sz w:val="28"/>
          <w:szCs w:val="28"/>
        </w:rPr>
        <w:drawing>
          <wp:inline distT="0" distB="0" distL="0" distR="0" wp14:anchorId="238EB1CA" wp14:editId="32410DA7">
            <wp:extent cx="4457700" cy="1971675"/>
            <wp:effectExtent l="0" t="0" r="0" b="9525"/>
            <wp:docPr id="19976946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1971675"/>
                    </a:xfrm>
                    <a:prstGeom prst="rect">
                      <a:avLst/>
                    </a:prstGeom>
                    <a:noFill/>
                    <a:ln>
                      <a:noFill/>
                    </a:ln>
                  </pic:spPr>
                </pic:pic>
              </a:graphicData>
            </a:graphic>
          </wp:inline>
        </w:drawing>
      </w:r>
      <w:r w:rsidRPr="00750C02">
        <w:rPr>
          <w:sz w:val="28"/>
          <w:szCs w:val="28"/>
        </w:rPr>
        <w:br/>
        <w:t> </w:t>
      </w:r>
    </w:p>
    <w:p w14:paraId="6AACF073" w14:textId="77777777" w:rsidR="00750C02" w:rsidRPr="00750C02" w:rsidRDefault="00750C02" w:rsidP="00750C02">
      <w:pPr>
        <w:jc w:val="both"/>
        <w:rPr>
          <w:sz w:val="28"/>
          <w:szCs w:val="28"/>
        </w:rPr>
      </w:pPr>
      <w:r w:rsidRPr="00750C02">
        <w:rPr>
          <w:sz w:val="28"/>
          <w:szCs w:val="28"/>
        </w:rPr>
        <w:t>Màn hình hiển thị giao diện chức năng “Liên kết tài khoản ngân hàng”, NNT chọn ngân hàng phù hợp, như hình sau:</w:t>
      </w:r>
    </w:p>
    <w:p w14:paraId="07916457" w14:textId="614DF22B" w:rsidR="00750C02" w:rsidRPr="00750C02" w:rsidRDefault="00750C02" w:rsidP="00750C02">
      <w:pPr>
        <w:jc w:val="both"/>
        <w:rPr>
          <w:sz w:val="28"/>
          <w:szCs w:val="28"/>
        </w:rPr>
      </w:pPr>
      <w:r w:rsidRPr="00750C02">
        <w:rPr>
          <w:sz w:val="28"/>
          <w:szCs w:val="28"/>
        </w:rPr>
        <w:drawing>
          <wp:inline distT="0" distB="0" distL="0" distR="0" wp14:anchorId="3447543F" wp14:editId="780E8D41">
            <wp:extent cx="5438775" cy="4257675"/>
            <wp:effectExtent l="0" t="0" r="9525" b="9525"/>
            <wp:docPr id="56565339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75" cy="4257675"/>
                    </a:xfrm>
                    <a:prstGeom prst="rect">
                      <a:avLst/>
                    </a:prstGeom>
                    <a:noFill/>
                    <a:ln>
                      <a:noFill/>
                    </a:ln>
                  </pic:spPr>
                </pic:pic>
              </a:graphicData>
            </a:graphic>
          </wp:inline>
        </w:drawing>
      </w:r>
      <w:r w:rsidRPr="00750C02">
        <w:rPr>
          <w:sz w:val="28"/>
          <w:szCs w:val="28"/>
        </w:rPr>
        <w:br/>
        <w:t> </w:t>
      </w:r>
    </w:p>
    <w:p w14:paraId="6FC31B0B" w14:textId="77777777" w:rsidR="00750C02" w:rsidRPr="00750C02" w:rsidRDefault="00750C02" w:rsidP="00750C02">
      <w:pPr>
        <w:jc w:val="both"/>
        <w:rPr>
          <w:sz w:val="28"/>
          <w:szCs w:val="28"/>
        </w:rPr>
      </w:pPr>
      <w:r w:rsidRPr="00750C02">
        <w:rPr>
          <w:sz w:val="28"/>
          <w:szCs w:val="28"/>
        </w:rPr>
        <w:t>Sau khi chọn ngân hàng, màn hình hiển thị thông tin NNT theo dữ liệu từ hệ thống của cơ quan thuế. NNT nhập các thông tin tại ô có gắn dấu (*) gồm </w:t>
      </w:r>
      <w:r w:rsidRPr="00750C02">
        <w:rPr>
          <w:i/>
          <w:iCs/>
          <w:sz w:val="28"/>
          <w:szCs w:val="28"/>
        </w:rPr>
        <w:t>Loại giấy tờ, Số điện thoại, Loại liên kết, Số tài khoản hoặc số thẻ.</w:t>
      </w:r>
    </w:p>
    <w:p w14:paraId="2AF1731A" w14:textId="77777777" w:rsidR="00750C02" w:rsidRPr="00750C02" w:rsidRDefault="00750C02" w:rsidP="00750C02">
      <w:pPr>
        <w:jc w:val="both"/>
        <w:rPr>
          <w:sz w:val="28"/>
          <w:szCs w:val="28"/>
        </w:rPr>
      </w:pPr>
      <w:r w:rsidRPr="00750C02">
        <w:rPr>
          <w:sz w:val="28"/>
          <w:szCs w:val="28"/>
        </w:rPr>
        <w:t>Lưu ý: Loại giấy tờ và Số giấy tờ của NNT phải trùng khớp thông tin giữa cơ quan thuế và ngân hàng (ví dụ NNT chọn Loại giấy tờ là chứng minh nhân dân hoặc căn cước công dân thì số CMND hoặc số CCCD phải khớp với số CMND/CCCD tại ngân hàng). Loại liên kết có thể chọn qua Số tài khoản hoặc Số thẻ. NNT chọn loại liên kết nào thì nhập số tài khoản/số thẻ phù hợp.</w:t>
      </w:r>
    </w:p>
    <w:p w14:paraId="0BD97AE6" w14:textId="77777777" w:rsidR="00750C02" w:rsidRPr="00750C02" w:rsidRDefault="00750C02" w:rsidP="00750C02">
      <w:pPr>
        <w:jc w:val="both"/>
        <w:rPr>
          <w:sz w:val="28"/>
          <w:szCs w:val="28"/>
        </w:rPr>
      </w:pPr>
      <w:r w:rsidRPr="00750C02">
        <w:rPr>
          <w:sz w:val="28"/>
          <w:szCs w:val="28"/>
        </w:rPr>
        <w:t>Cụ thể như hình sau:</w:t>
      </w:r>
    </w:p>
    <w:p w14:paraId="314C83DA" w14:textId="24DC8461" w:rsidR="00750C02" w:rsidRPr="00750C02" w:rsidRDefault="00750C02" w:rsidP="00750C02">
      <w:pPr>
        <w:jc w:val="both"/>
        <w:rPr>
          <w:sz w:val="28"/>
          <w:szCs w:val="28"/>
        </w:rPr>
      </w:pPr>
      <w:r w:rsidRPr="00750C02">
        <w:rPr>
          <w:sz w:val="28"/>
          <w:szCs w:val="28"/>
        </w:rPr>
        <w:drawing>
          <wp:inline distT="0" distB="0" distL="0" distR="0" wp14:anchorId="2F77C1C4" wp14:editId="6BFB5AEF">
            <wp:extent cx="5733415" cy="5908040"/>
            <wp:effectExtent l="0" t="0" r="635" b="0"/>
            <wp:docPr id="171751590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5908040"/>
                    </a:xfrm>
                    <a:prstGeom prst="rect">
                      <a:avLst/>
                    </a:prstGeom>
                    <a:noFill/>
                    <a:ln>
                      <a:noFill/>
                    </a:ln>
                  </pic:spPr>
                </pic:pic>
              </a:graphicData>
            </a:graphic>
          </wp:inline>
        </w:drawing>
      </w:r>
      <w:r w:rsidRPr="00750C02">
        <w:rPr>
          <w:sz w:val="28"/>
          <w:szCs w:val="28"/>
        </w:rPr>
        <w:br/>
        <w:t> </w:t>
      </w:r>
    </w:p>
    <w:p w14:paraId="5F6B01CF" w14:textId="77777777" w:rsidR="00750C02" w:rsidRPr="00750C02" w:rsidRDefault="00750C02" w:rsidP="00750C02">
      <w:pPr>
        <w:jc w:val="both"/>
        <w:rPr>
          <w:sz w:val="28"/>
          <w:szCs w:val="28"/>
        </w:rPr>
      </w:pPr>
      <w:r w:rsidRPr="00750C02">
        <w:rPr>
          <w:sz w:val="28"/>
          <w:szCs w:val="28"/>
        </w:rPr>
        <w:t>Sau khi hoàn thành nhập các thông tin trên, NNT chọn “Tiếp tục”, màn hình hiển thị giao diện nhập mã OTP. NNT xem mã OTP được gửi đến tin nhắn số điện thoại NNT đã đăng ký và nhập mã, sau đó chọn “Hoàn thành”, như hình sau:</w:t>
      </w:r>
    </w:p>
    <w:p w14:paraId="27314435" w14:textId="0213D094" w:rsidR="00750C02" w:rsidRPr="00750C02" w:rsidRDefault="00750C02" w:rsidP="00750C02">
      <w:pPr>
        <w:jc w:val="both"/>
        <w:rPr>
          <w:sz w:val="28"/>
          <w:szCs w:val="28"/>
        </w:rPr>
      </w:pPr>
      <w:r w:rsidRPr="00750C02">
        <w:rPr>
          <w:sz w:val="28"/>
          <w:szCs w:val="28"/>
        </w:rPr>
        <w:drawing>
          <wp:inline distT="0" distB="0" distL="0" distR="0" wp14:anchorId="20513D9E" wp14:editId="4B5B2128">
            <wp:extent cx="5733415" cy="4263390"/>
            <wp:effectExtent l="0" t="0" r="635" b="3810"/>
            <wp:docPr id="95511390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415" cy="4263390"/>
                    </a:xfrm>
                    <a:prstGeom prst="rect">
                      <a:avLst/>
                    </a:prstGeom>
                    <a:noFill/>
                    <a:ln>
                      <a:noFill/>
                    </a:ln>
                  </pic:spPr>
                </pic:pic>
              </a:graphicData>
            </a:graphic>
          </wp:inline>
        </w:drawing>
      </w:r>
      <w:r w:rsidRPr="00750C02">
        <w:rPr>
          <w:sz w:val="28"/>
          <w:szCs w:val="28"/>
        </w:rPr>
        <w:br/>
        <w:t> </w:t>
      </w:r>
    </w:p>
    <w:p w14:paraId="28126F36" w14:textId="77777777" w:rsidR="00750C02" w:rsidRPr="00750C02" w:rsidRDefault="00750C02" w:rsidP="00750C02">
      <w:pPr>
        <w:jc w:val="both"/>
        <w:rPr>
          <w:sz w:val="28"/>
          <w:szCs w:val="28"/>
        </w:rPr>
      </w:pPr>
      <w:r w:rsidRPr="00750C02">
        <w:rPr>
          <w:sz w:val="28"/>
          <w:szCs w:val="28"/>
        </w:rPr>
        <w:t>Sau khi chọn “Hoàn thành”, màn hình hiển thị thông báo “Liên kết tài khoản thành công”.</w:t>
      </w:r>
    </w:p>
    <w:p w14:paraId="664128CE" w14:textId="1A019616" w:rsidR="00750C02" w:rsidRPr="00750C02" w:rsidRDefault="00750C02" w:rsidP="00750C02">
      <w:pPr>
        <w:jc w:val="both"/>
        <w:rPr>
          <w:sz w:val="28"/>
          <w:szCs w:val="28"/>
        </w:rPr>
      </w:pPr>
      <w:r w:rsidRPr="00750C02">
        <w:rPr>
          <w:sz w:val="28"/>
          <w:szCs w:val="28"/>
        </w:rPr>
        <w:drawing>
          <wp:inline distT="0" distB="0" distL="0" distR="0" wp14:anchorId="67B59FD3" wp14:editId="74EF439B">
            <wp:extent cx="5733415" cy="2590800"/>
            <wp:effectExtent l="0" t="0" r="635" b="0"/>
            <wp:docPr id="200283712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415" cy="2590800"/>
                    </a:xfrm>
                    <a:prstGeom prst="rect">
                      <a:avLst/>
                    </a:prstGeom>
                    <a:noFill/>
                    <a:ln>
                      <a:noFill/>
                    </a:ln>
                  </pic:spPr>
                </pic:pic>
              </a:graphicData>
            </a:graphic>
          </wp:inline>
        </w:drawing>
      </w:r>
      <w:r w:rsidRPr="00750C02">
        <w:rPr>
          <w:sz w:val="28"/>
          <w:szCs w:val="28"/>
        </w:rPr>
        <w:br/>
        <w:t> </w:t>
      </w:r>
    </w:p>
    <w:p w14:paraId="6CC75DE5" w14:textId="77777777" w:rsidR="00750C02" w:rsidRPr="00750C02" w:rsidRDefault="00750C02" w:rsidP="00750C02">
      <w:pPr>
        <w:jc w:val="both"/>
        <w:rPr>
          <w:sz w:val="28"/>
          <w:szCs w:val="28"/>
        </w:rPr>
      </w:pPr>
      <w:r w:rsidRPr="00750C02">
        <w:rPr>
          <w:b/>
          <w:bCs/>
          <w:sz w:val="28"/>
          <w:szCs w:val="28"/>
        </w:rPr>
        <w:t>Bước 3:</w:t>
      </w:r>
      <w:r w:rsidRPr="00750C02">
        <w:rPr>
          <w:sz w:val="28"/>
          <w:szCs w:val="28"/>
        </w:rPr>
        <w:t xml:space="preserve"> Nộp thuế điện tử qua ngân hàng thương mại</w:t>
      </w:r>
    </w:p>
    <w:p w14:paraId="376A0C15" w14:textId="77777777" w:rsidR="00750C02" w:rsidRPr="00750C02" w:rsidRDefault="00750C02" w:rsidP="00750C02">
      <w:pPr>
        <w:jc w:val="both"/>
        <w:rPr>
          <w:sz w:val="28"/>
          <w:szCs w:val="28"/>
        </w:rPr>
      </w:pPr>
      <w:r w:rsidRPr="00750C02">
        <w:rPr>
          <w:sz w:val="28"/>
          <w:szCs w:val="28"/>
        </w:rPr>
        <w:t>NNT chọn chức năng “Nộp thuế” mục menu “NỘP THUẾ” trên màn hình chính, như hình sau:</w:t>
      </w:r>
    </w:p>
    <w:p w14:paraId="7A5E5F10" w14:textId="467010B9" w:rsidR="00750C02" w:rsidRPr="00750C02" w:rsidRDefault="00750C02" w:rsidP="00750C02">
      <w:pPr>
        <w:jc w:val="both"/>
        <w:rPr>
          <w:sz w:val="28"/>
          <w:szCs w:val="28"/>
        </w:rPr>
      </w:pPr>
      <w:r w:rsidRPr="00750C02">
        <w:rPr>
          <w:sz w:val="28"/>
          <w:szCs w:val="28"/>
        </w:rPr>
        <w:drawing>
          <wp:inline distT="0" distB="0" distL="0" distR="0" wp14:anchorId="3DC16228" wp14:editId="6F987291">
            <wp:extent cx="4457700" cy="2209800"/>
            <wp:effectExtent l="0" t="0" r="0" b="0"/>
            <wp:docPr id="114939564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2209800"/>
                    </a:xfrm>
                    <a:prstGeom prst="rect">
                      <a:avLst/>
                    </a:prstGeom>
                    <a:noFill/>
                    <a:ln>
                      <a:noFill/>
                    </a:ln>
                  </pic:spPr>
                </pic:pic>
              </a:graphicData>
            </a:graphic>
          </wp:inline>
        </w:drawing>
      </w:r>
      <w:r w:rsidRPr="00750C02">
        <w:rPr>
          <w:sz w:val="28"/>
          <w:szCs w:val="28"/>
        </w:rPr>
        <w:br/>
        <w:t> </w:t>
      </w:r>
    </w:p>
    <w:p w14:paraId="1171D610" w14:textId="77777777" w:rsidR="00750C02" w:rsidRPr="00750C02" w:rsidRDefault="00750C02" w:rsidP="00750C02">
      <w:pPr>
        <w:jc w:val="both"/>
        <w:rPr>
          <w:sz w:val="28"/>
          <w:szCs w:val="28"/>
        </w:rPr>
      </w:pPr>
      <w:r w:rsidRPr="00750C02">
        <w:rPr>
          <w:sz w:val="28"/>
          <w:szCs w:val="28"/>
        </w:rPr>
        <w:t>Màn hình hiển thị giao diện chức năng “Nộp thuế”, phần “TRA CỨU THÔNG TIN KHOẢN NỘP”, NNT chọn loại thuế thanh toán phù hợp (ví dụ chọn </w:t>
      </w:r>
      <w:r w:rsidRPr="00750C02">
        <w:rPr>
          <w:i/>
          <w:iCs/>
          <w:sz w:val="28"/>
          <w:szCs w:val="28"/>
        </w:rPr>
        <w:t>Thuế của cá nhân</w:t>
      </w:r>
      <w:r w:rsidRPr="00750C02">
        <w:rPr>
          <w:sz w:val="28"/>
          <w:szCs w:val="28"/>
        </w:rPr>
        <w:t>), như hình sau:</w:t>
      </w:r>
    </w:p>
    <w:p w14:paraId="572DD0FE" w14:textId="55853304" w:rsidR="00750C02" w:rsidRPr="00750C02" w:rsidRDefault="00750C02" w:rsidP="00750C02">
      <w:pPr>
        <w:jc w:val="both"/>
        <w:rPr>
          <w:sz w:val="28"/>
          <w:szCs w:val="28"/>
        </w:rPr>
      </w:pPr>
      <w:r w:rsidRPr="00750C02">
        <w:rPr>
          <w:sz w:val="28"/>
          <w:szCs w:val="28"/>
        </w:rPr>
        <w:drawing>
          <wp:inline distT="0" distB="0" distL="0" distR="0" wp14:anchorId="3EDF5FB7" wp14:editId="1EE86C08">
            <wp:extent cx="5733415" cy="5375910"/>
            <wp:effectExtent l="0" t="0" r="635" b="0"/>
            <wp:docPr id="113446905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3415" cy="5375910"/>
                    </a:xfrm>
                    <a:prstGeom prst="rect">
                      <a:avLst/>
                    </a:prstGeom>
                    <a:noFill/>
                    <a:ln>
                      <a:noFill/>
                    </a:ln>
                  </pic:spPr>
                </pic:pic>
              </a:graphicData>
            </a:graphic>
          </wp:inline>
        </w:drawing>
      </w:r>
      <w:r w:rsidRPr="00750C02">
        <w:rPr>
          <w:sz w:val="28"/>
          <w:szCs w:val="28"/>
        </w:rPr>
        <w:br/>
        <w:t> </w:t>
      </w:r>
    </w:p>
    <w:p w14:paraId="13B78E6C" w14:textId="77777777" w:rsidR="00750C02" w:rsidRPr="00750C02" w:rsidRDefault="00750C02" w:rsidP="00750C02">
      <w:pPr>
        <w:jc w:val="both"/>
        <w:rPr>
          <w:sz w:val="28"/>
          <w:szCs w:val="28"/>
        </w:rPr>
      </w:pPr>
      <w:r w:rsidRPr="00750C02">
        <w:rPr>
          <w:sz w:val="28"/>
          <w:szCs w:val="28"/>
        </w:rPr>
        <w:t>Chọn “Tra cứu”, màn hình hiển thị các khoản phải nộp ngân sách nhà nước (NSNN), ví dụ như hình sau:</w:t>
      </w:r>
    </w:p>
    <w:p w14:paraId="03DF792A" w14:textId="43EB541E" w:rsidR="00750C02" w:rsidRPr="00750C02" w:rsidRDefault="00750C02" w:rsidP="00750C02">
      <w:pPr>
        <w:jc w:val="both"/>
        <w:rPr>
          <w:sz w:val="28"/>
          <w:szCs w:val="28"/>
        </w:rPr>
      </w:pPr>
      <w:r w:rsidRPr="00750C02">
        <w:rPr>
          <w:sz w:val="28"/>
          <w:szCs w:val="28"/>
        </w:rPr>
        <w:drawing>
          <wp:inline distT="0" distB="0" distL="0" distR="0" wp14:anchorId="1A67B863" wp14:editId="64B9B897">
            <wp:extent cx="4762500" cy="7648575"/>
            <wp:effectExtent l="0" t="0" r="0" b="9525"/>
            <wp:docPr id="163822333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7648575"/>
                    </a:xfrm>
                    <a:prstGeom prst="rect">
                      <a:avLst/>
                    </a:prstGeom>
                    <a:noFill/>
                    <a:ln>
                      <a:noFill/>
                    </a:ln>
                  </pic:spPr>
                </pic:pic>
              </a:graphicData>
            </a:graphic>
          </wp:inline>
        </w:drawing>
      </w:r>
      <w:r w:rsidRPr="00750C02">
        <w:rPr>
          <w:sz w:val="28"/>
          <w:szCs w:val="28"/>
        </w:rPr>
        <w:br/>
        <w:t> </w:t>
      </w:r>
    </w:p>
    <w:p w14:paraId="2F37EF04" w14:textId="77777777" w:rsidR="00750C02" w:rsidRPr="00750C02" w:rsidRDefault="00750C02" w:rsidP="00750C02">
      <w:pPr>
        <w:jc w:val="both"/>
        <w:rPr>
          <w:sz w:val="28"/>
          <w:szCs w:val="28"/>
        </w:rPr>
      </w:pPr>
      <w:r w:rsidRPr="00750C02">
        <w:rPr>
          <w:sz w:val="28"/>
          <w:szCs w:val="28"/>
        </w:rPr>
        <w:t>Nếu NNT đồng ý với các khoản nộp NSNN trên thì tích chọn khoản nộp và chọn “Tiếp tục”. Trường hợp có vướng mắc, NNT liên hệ cơ quan thuế để được hỗ trợ và giải đáp vướng mắc.</w:t>
      </w:r>
    </w:p>
    <w:p w14:paraId="0FD92D1F" w14:textId="77777777" w:rsidR="00750C02" w:rsidRPr="00750C02" w:rsidRDefault="00750C02" w:rsidP="00750C02">
      <w:pPr>
        <w:jc w:val="both"/>
        <w:rPr>
          <w:sz w:val="28"/>
          <w:szCs w:val="28"/>
        </w:rPr>
      </w:pPr>
      <w:r w:rsidRPr="00750C02">
        <w:rPr>
          <w:sz w:val="28"/>
          <w:szCs w:val="28"/>
        </w:rPr>
        <w:t>Sau khi chọn “Tiếp tục”, màn hình hiển thị “THÔNG TIN KHOẢN NỘP”, “CHI TIẾT KHOẢN NỘP”, “CHỌN NGÂN HÀNG” (là ngân hàng đã thực hiện liên kết ở Bước 2). NNT đồng ý với thông tin và chi tiết khoản nộp, thực hiện chọn ngân hàng đang hiển thị trên giao diện và chọn “Tiếp tục”.</w:t>
      </w:r>
    </w:p>
    <w:p w14:paraId="19A4A860" w14:textId="77777777" w:rsidR="00750C02" w:rsidRPr="00750C02" w:rsidRDefault="00750C02" w:rsidP="00750C02">
      <w:pPr>
        <w:jc w:val="both"/>
        <w:rPr>
          <w:sz w:val="28"/>
          <w:szCs w:val="28"/>
        </w:rPr>
      </w:pPr>
      <w:r w:rsidRPr="00750C02">
        <w:rPr>
          <w:sz w:val="28"/>
          <w:szCs w:val="28"/>
        </w:rPr>
        <w:t>Sau khi chọn “Tiếp tục”, màn hình hiển thị Tên ngân hàng, Chọn loại phương thức, Số tài khoản/Số thẻ (các thông tin này được tự động hiển thị theo thông tin đã liên kết ngân hàng tại Bước 2). NNT thực hiện chọn “Thanh toán”.</w:t>
      </w:r>
    </w:p>
    <w:p w14:paraId="5CDC217F" w14:textId="45FDBAFD" w:rsidR="00750C02" w:rsidRPr="00750C02" w:rsidRDefault="00750C02" w:rsidP="00750C02">
      <w:pPr>
        <w:jc w:val="both"/>
        <w:rPr>
          <w:sz w:val="28"/>
          <w:szCs w:val="28"/>
        </w:rPr>
      </w:pPr>
      <w:r w:rsidRPr="00750C02">
        <w:rPr>
          <w:sz w:val="28"/>
          <w:szCs w:val="28"/>
        </w:rPr>
        <w:drawing>
          <wp:inline distT="0" distB="0" distL="0" distR="0" wp14:anchorId="18197DB1" wp14:editId="0F33818D">
            <wp:extent cx="5733415" cy="4584700"/>
            <wp:effectExtent l="0" t="0" r="635" b="6350"/>
            <wp:docPr id="10646009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3415" cy="4584700"/>
                    </a:xfrm>
                    <a:prstGeom prst="rect">
                      <a:avLst/>
                    </a:prstGeom>
                    <a:noFill/>
                    <a:ln>
                      <a:noFill/>
                    </a:ln>
                  </pic:spPr>
                </pic:pic>
              </a:graphicData>
            </a:graphic>
          </wp:inline>
        </w:drawing>
      </w:r>
      <w:r w:rsidRPr="00750C02">
        <w:rPr>
          <w:sz w:val="28"/>
          <w:szCs w:val="28"/>
        </w:rPr>
        <w:br/>
        <w:t> </w:t>
      </w:r>
    </w:p>
    <w:p w14:paraId="03FDEEF1" w14:textId="77777777" w:rsidR="00750C02" w:rsidRPr="00750C02" w:rsidRDefault="00750C02" w:rsidP="00750C02">
      <w:pPr>
        <w:jc w:val="both"/>
        <w:rPr>
          <w:sz w:val="28"/>
          <w:szCs w:val="28"/>
        </w:rPr>
      </w:pPr>
      <w:r w:rsidRPr="00750C02">
        <w:rPr>
          <w:sz w:val="28"/>
          <w:szCs w:val="28"/>
        </w:rPr>
        <w:t>Sau khi chọn “Hoàn thành”, màn hình hiển thị thông báo Thanh toán thành công. NNT chọn “Đồng ý”, màn hình quay lại màn hình chính.</w:t>
      </w:r>
    </w:p>
    <w:p w14:paraId="3FC432F2" w14:textId="77777777" w:rsidR="00750C02" w:rsidRPr="00750C02" w:rsidRDefault="00750C02" w:rsidP="00750C02">
      <w:pPr>
        <w:jc w:val="both"/>
        <w:rPr>
          <w:sz w:val="28"/>
          <w:szCs w:val="28"/>
        </w:rPr>
      </w:pPr>
      <w:bookmarkStart w:id="2" w:name="_Toc110945892"/>
      <w:r w:rsidRPr="00750C02">
        <w:rPr>
          <w:b/>
          <w:bCs/>
          <w:sz w:val="28"/>
          <w:szCs w:val="28"/>
        </w:rPr>
        <w:t>Bước 4:</w:t>
      </w:r>
      <w:bookmarkEnd w:id="2"/>
      <w:r w:rsidRPr="00750C02">
        <w:rPr>
          <w:sz w:val="28"/>
          <w:szCs w:val="28"/>
        </w:rPr>
        <w:t xml:space="preserve"> Tra cứu chứng từ</w:t>
      </w:r>
    </w:p>
    <w:p w14:paraId="64E34BDF" w14:textId="77777777" w:rsidR="00750C02" w:rsidRPr="00750C02" w:rsidRDefault="00750C02" w:rsidP="00750C02">
      <w:pPr>
        <w:jc w:val="both"/>
        <w:rPr>
          <w:sz w:val="28"/>
          <w:szCs w:val="28"/>
        </w:rPr>
      </w:pPr>
      <w:r w:rsidRPr="00750C02">
        <w:rPr>
          <w:sz w:val="28"/>
          <w:szCs w:val="28"/>
        </w:rPr>
        <w:t>NNT muốn tra cứu chứng từ nộp thuế, thực hiện chọn chức năng “Tra cứu chứng từ” mục menu “NỘP THUẾ” trên màn hình chính, như hình sau:</w:t>
      </w:r>
    </w:p>
    <w:p w14:paraId="7EE2A1AB" w14:textId="53F66360" w:rsidR="00750C02" w:rsidRPr="00750C02" w:rsidRDefault="00750C02" w:rsidP="00750C02">
      <w:pPr>
        <w:jc w:val="both"/>
        <w:rPr>
          <w:sz w:val="28"/>
          <w:szCs w:val="28"/>
        </w:rPr>
      </w:pPr>
      <w:r w:rsidRPr="00750C02">
        <w:rPr>
          <w:sz w:val="28"/>
          <w:szCs w:val="28"/>
        </w:rPr>
        <w:drawing>
          <wp:inline distT="0" distB="0" distL="0" distR="0" wp14:anchorId="24F7ACF8" wp14:editId="639E88E3">
            <wp:extent cx="4457700" cy="2047875"/>
            <wp:effectExtent l="0" t="0" r="0" b="9525"/>
            <wp:docPr id="133320207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7700" cy="2047875"/>
                    </a:xfrm>
                    <a:prstGeom prst="rect">
                      <a:avLst/>
                    </a:prstGeom>
                    <a:noFill/>
                    <a:ln>
                      <a:noFill/>
                    </a:ln>
                  </pic:spPr>
                </pic:pic>
              </a:graphicData>
            </a:graphic>
          </wp:inline>
        </w:drawing>
      </w:r>
      <w:r w:rsidRPr="00750C02">
        <w:rPr>
          <w:sz w:val="28"/>
          <w:szCs w:val="28"/>
        </w:rPr>
        <w:br/>
        <w:t> </w:t>
      </w:r>
    </w:p>
    <w:p w14:paraId="57612065" w14:textId="77777777" w:rsidR="00750C02" w:rsidRPr="00750C02" w:rsidRDefault="00750C02" w:rsidP="00750C02">
      <w:pPr>
        <w:jc w:val="both"/>
        <w:rPr>
          <w:sz w:val="28"/>
          <w:szCs w:val="28"/>
        </w:rPr>
      </w:pPr>
      <w:r w:rsidRPr="00750C02">
        <w:rPr>
          <w:sz w:val="28"/>
          <w:szCs w:val="28"/>
        </w:rPr>
        <w:t>Màn hình hiển thị giao diện chức năng “Tra cứu chứng từ”, NNT nhập thời gian tra cứu phù hợp, sau đó chọn “Tra cứu”.</w:t>
      </w:r>
    </w:p>
    <w:p w14:paraId="4424A586" w14:textId="17D0898E" w:rsidR="00750C02" w:rsidRPr="00750C02" w:rsidRDefault="00750C02" w:rsidP="00750C02">
      <w:pPr>
        <w:jc w:val="both"/>
        <w:rPr>
          <w:sz w:val="28"/>
          <w:szCs w:val="28"/>
        </w:rPr>
      </w:pPr>
      <w:r w:rsidRPr="00750C02">
        <w:rPr>
          <w:sz w:val="28"/>
          <w:szCs w:val="28"/>
        </w:rPr>
        <w:drawing>
          <wp:inline distT="0" distB="0" distL="0" distR="0" wp14:anchorId="4CB36C60" wp14:editId="78B02035">
            <wp:extent cx="4457700" cy="3562350"/>
            <wp:effectExtent l="0" t="0" r="0" b="0"/>
            <wp:docPr id="15326358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0" cy="3562350"/>
                    </a:xfrm>
                    <a:prstGeom prst="rect">
                      <a:avLst/>
                    </a:prstGeom>
                    <a:noFill/>
                    <a:ln>
                      <a:noFill/>
                    </a:ln>
                  </pic:spPr>
                </pic:pic>
              </a:graphicData>
            </a:graphic>
          </wp:inline>
        </w:drawing>
      </w:r>
      <w:r w:rsidRPr="00750C02">
        <w:rPr>
          <w:sz w:val="28"/>
          <w:szCs w:val="28"/>
        </w:rPr>
        <w:br/>
        <w:t> </w:t>
      </w:r>
    </w:p>
    <w:p w14:paraId="4CEECF8F" w14:textId="77777777" w:rsidR="00750C02" w:rsidRPr="00750C02" w:rsidRDefault="00750C02" w:rsidP="00750C02">
      <w:pPr>
        <w:jc w:val="both"/>
        <w:rPr>
          <w:sz w:val="28"/>
          <w:szCs w:val="28"/>
        </w:rPr>
      </w:pPr>
      <w:r w:rsidRPr="00750C02">
        <w:rPr>
          <w:sz w:val="28"/>
          <w:szCs w:val="28"/>
        </w:rPr>
        <w:t>Sau khi chọn “Tra cứu”, màn hình hiển thị thông tin chứng từ nộp tiền thuế vào NSNN (Mã tham chiếu, Số tiền, Ngày nộp, Trạng thái). NNT có thể chọn In chứng từ nếu thiết bị di động có kết nối với thiết bị in. Kết thúc tra cứu, NNT chọn biểu tượng ngôi nhà trên cùng để quay về màn hình chính.</w:t>
      </w:r>
    </w:p>
    <w:p w14:paraId="009D7E8A" w14:textId="77777777" w:rsidR="00750C02" w:rsidRPr="00750C02" w:rsidRDefault="00750C02" w:rsidP="00750C02">
      <w:pPr>
        <w:jc w:val="both"/>
        <w:rPr>
          <w:b/>
          <w:bCs/>
          <w:i/>
          <w:iCs/>
          <w:sz w:val="28"/>
          <w:szCs w:val="28"/>
        </w:rPr>
      </w:pPr>
      <w:r w:rsidRPr="00750C02">
        <w:rPr>
          <w:b/>
          <w:bCs/>
          <w:i/>
          <w:iCs/>
          <w:sz w:val="28"/>
          <w:szCs w:val="28"/>
        </w:rPr>
        <w:t>Đây là những tiện ích rất quan trọng giúp cá nhân, cá nhân kinh doanh và hộ kinh doanh có thể dễ dàng tra cứu, thực hiện nghĩa vụ thuế thuận tiện nhất với điện thoại thông minh. Trong bối cảnh một phần lớn dân cư, trong đó, hầu hết những người thuộc diện kê khai, nộp thuế thu nhập cá nhân đều sử dụng điện thoại thông minh thì việc triển khai ứng dụng này sẽ hỗ người nộp thuế là cá nhân thực hiện nghĩa vụ thuế một cách thuận tiện nhất và đơn giản nhất.</w:t>
      </w:r>
    </w:p>
    <w:p w14:paraId="1EA12279" w14:textId="77777777" w:rsidR="00475B86" w:rsidRPr="00750C02" w:rsidRDefault="00475B86" w:rsidP="00750C02">
      <w:pPr>
        <w:jc w:val="both"/>
        <w:rPr>
          <w:b/>
          <w:bCs/>
          <w:i/>
          <w:iCs/>
          <w:sz w:val="28"/>
          <w:szCs w:val="28"/>
        </w:rPr>
      </w:pPr>
    </w:p>
    <w:sectPr w:rsidR="00475B86" w:rsidRPr="00750C02"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A8"/>
    <w:rsid w:val="000A3882"/>
    <w:rsid w:val="00213D57"/>
    <w:rsid w:val="00244F31"/>
    <w:rsid w:val="00475B86"/>
    <w:rsid w:val="00541276"/>
    <w:rsid w:val="00552712"/>
    <w:rsid w:val="005D6FC0"/>
    <w:rsid w:val="00750C02"/>
    <w:rsid w:val="00934253"/>
    <w:rsid w:val="00B36AA8"/>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066C"/>
  <w15:chartTrackingRefBased/>
  <w15:docId w15:val="{D4FB3955-6ADE-40C3-9CB6-1C7A0632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0161">
      <w:bodyDiv w:val="1"/>
      <w:marLeft w:val="0"/>
      <w:marRight w:val="0"/>
      <w:marTop w:val="0"/>
      <w:marBottom w:val="0"/>
      <w:divBdr>
        <w:top w:val="none" w:sz="0" w:space="0" w:color="auto"/>
        <w:left w:val="none" w:sz="0" w:space="0" w:color="auto"/>
        <w:bottom w:val="none" w:sz="0" w:space="0" w:color="auto"/>
        <w:right w:val="none" w:sz="0" w:space="0" w:color="auto"/>
      </w:divBdr>
      <w:divsChild>
        <w:div w:id="1386561715">
          <w:marLeft w:val="0"/>
          <w:marRight w:val="0"/>
          <w:marTop w:val="0"/>
          <w:marBottom w:val="0"/>
          <w:divBdr>
            <w:top w:val="none" w:sz="0" w:space="0" w:color="auto"/>
            <w:left w:val="none" w:sz="0" w:space="0" w:color="auto"/>
            <w:bottom w:val="none" w:sz="0" w:space="0" w:color="auto"/>
            <w:right w:val="none" w:sz="0" w:space="0" w:color="auto"/>
          </w:divBdr>
        </w:div>
        <w:div w:id="496922068">
          <w:marLeft w:val="0"/>
          <w:marRight w:val="0"/>
          <w:marTop w:val="0"/>
          <w:marBottom w:val="0"/>
          <w:divBdr>
            <w:top w:val="none" w:sz="0" w:space="0" w:color="auto"/>
            <w:left w:val="none" w:sz="0" w:space="0" w:color="auto"/>
            <w:bottom w:val="none" w:sz="0" w:space="0" w:color="auto"/>
            <w:right w:val="none" w:sz="0" w:space="0" w:color="auto"/>
          </w:divBdr>
        </w:div>
      </w:divsChild>
    </w:div>
    <w:div w:id="216355002">
      <w:bodyDiv w:val="1"/>
      <w:marLeft w:val="0"/>
      <w:marRight w:val="0"/>
      <w:marTop w:val="0"/>
      <w:marBottom w:val="0"/>
      <w:divBdr>
        <w:top w:val="none" w:sz="0" w:space="0" w:color="auto"/>
        <w:left w:val="none" w:sz="0" w:space="0" w:color="auto"/>
        <w:bottom w:val="none" w:sz="0" w:space="0" w:color="auto"/>
        <w:right w:val="none" w:sz="0" w:space="0" w:color="auto"/>
      </w:divBdr>
      <w:divsChild>
        <w:div w:id="1509296860">
          <w:marLeft w:val="0"/>
          <w:marRight w:val="0"/>
          <w:marTop w:val="0"/>
          <w:marBottom w:val="0"/>
          <w:divBdr>
            <w:top w:val="none" w:sz="0" w:space="0" w:color="auto"/>
            <w:left w:val="none" w:sz="0" w:space="0" w:color="auto"/>
            <w:bottom w:val="none" w:sz="0" w:space="0" w:color="auto"/>
            <w:right w:val="none" w:sz="0" w:space="0" w:color="auto"/>
          </w:divBdr>
          <w:divsChild>
            <w:div w:id="753629805">
              <w:marLeft w:val="0"/>
              <w:marRight w:val="0"/>
              <w:marTop w:val="0"/>
              <w:marBottom w:val="0"/>
              <w:divBdr>
                <w:top w:val="none" w:sz="0" w:space="0" w:color="auto"/>
                <w:left w:val="none" w:sz="0" w:space="0" w:color="auto"/>
                <w:bottom w:val="none" w:sz="0" w:space="0" w:color="auto"/>
                <w:right w:val="none" w:sz="0" w:space="0" w:color="auto"/>
              </w:divBdr>
              <w:divsChild>
                <w:div w:id="20453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4987">
          <w:marLeft w:val="0"/>
          <w:marRight w:val="0"/>
          <w:marTop w:val="0"/>
          <w:marBottom w:val="0"/>
          <w:divBdr>
            <w:top w:val="none" w:sz="0" w:space="0" w:color="auto"/>
            <w:left w:val="none" w:sz="0" w:space="0" w:color="auto"/>
            <w:bottom w:val="none" w:sz="0" w:space="0" w:color="auto"/>
            <w:right w:val="none" w:sz="0" w:space="0" w:color="auto"/>
          </w:divBdr>
          <w:divsChild>
            <w:div w:id="455371022">
              <w:marLeft w:val="0"/>
              <w:marRight w:val="0"/>
              <w:marTop w:val="0"/>
              <w:marBottom w:val="0"/>
              <w:divBdr>
                <w:top w:val="none" w:sz="0" w:space="0" w:color="auto"/>
                <w:left w:val="none" w:sz="0" w:space="0" w:color="auto"/>
                <w:bottom w:val="none" w:sz="0" w:space="0" w:color="auto"/>
                <w:right w:val="none" w:sz="0" w:space="0" w:color="auto"/>
              </w:divBdr>
              <w:divsChild>
                <w:div w:id="63695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921">
          <w:marLeft w:val="0"/>
          <w:marRight w:val="0"/>
          <w:marTop w:val="0"/>
          <w:marBottom w:val="0"/>
          <w:divBdr>
            <w:top w:val="none" w:sz="0" w:space="0" w:color="auto"/>
            <w:left w:val="none" w:sz="0" w:space="0" w:color="auto"/>
            <w:bottom w:val="none" w:sz="0" w:space="0" w:color="auto"/>
            <w:right w:val="none" w:sz="0" w:space="0" w:color="auto"/>
          </w:divBdr>
          <w:divsChild>
            <w:div w:id="1160656071">
              <w:marLeft w:val="0"/>
              <w:marRight w:val="0"/>
              <w:marTop w:val="0"/>
              <w:marBottom w:val="0"/>
              <w:divBdr>
                <w:top w:val="none" w:sz="0" w:space="0" w:color="auto"/>
                <w:left w:val="none" w:sz="0" w:space="0" w:color="auto"/>
                <w:bottom w:val="none" w:sz="0" w:space="0" w:color="auto"/>
                <w:right w:val="none" w:sz="0" w:space="0" w:color="auto"/>
              </w:divBdr>
            </w:div>
            <w:div w:id="1203515101">
              <w:marLeft w:val="0"/>
              <w:marRight w:val="0"/>
              <w:marTop w:val="0"/>
              <w:marBottom w:val="0"/>
              <w:divBdr>
                <w:top w:val="none" w:sz="0" w:space="0" w:color="auto"/>
                <w:left w:val="none" w:sz="0" w:space="0" w:color="auto"/>
                <w:bottom w:val="none" w:sz="0" w:space="0" w:color="auto"/>
                <w:right w:val="none" w:sz="0" w:space="0" w:color="auto"/>
              </w:divBdr>
            </w:div>
            <w:div w:id="1725253732">
              <w:marLeft w:val="0"/>
              <w:marRight w:val="0"/>
              <w:marTop w:val="0"/>
              <w:marBottom w:val="0"/>
              <w:divBdr>
                <w:top w:val="none" w:sz="0" w:space="0" w:color="auto"/>
                <w:left w:val="none" w:sz="0" w:space="0" w:color="auto"/>
                <w:bottom w:val="none" w:sz="0" w:space="0" w:color="auto"/>
                <w:right w:val="none" w:sz="0" w:space="0" w:color="auto"/>
              </w:divBdr>
            </w:div>
            <w:div w:id="1074164201">
              <w:marLeft w:val="0"/>
              <w:marRight w:val="0"/>
              <w:marTop w:val="0"/>
              <w:marBottom w:val="0"/>
              <w:divBdr>
                <w:top w:val="none" w:sz="0" w:space="0" w:color="auto"/>
                <w:left w:val="none" w:sz="0" w:space="0" w:color="auto"/>
                <w:bottom w:val="none" w:sz="0" w:space="0" w:color="auto"/>
                <w:right w:val="none" w:sz="0" w:space="0" w:color="auto"/>
              </w:divBdr>
            </w:div>
            <w:div w:id="721292204">
              <w:marLeft w:val="0"/>
              <w:marRight w:val="0"/>
              <w:marTop w:val="0"/>
              <w:marBottom w:val="0"/>
              <w:divBdr>
                <w:top w:val="none" w:sz="0" w:space="0" w:color="auto"/>
                <w:left w:val="none" w:sz="0" w:space="0" w:color="auto"/>
                <w:bottom w:val="none" w:sz="0" w:space="0" w:color="auto"/>
                <w:right w:val="none" w:sz="0" w:space="0" w:color="auto"/>
              </w:divBdr>
            </w:div>
            <w:div w:id="1173566737">
              <w:marLeft w:val="0"/>
              <w:marRight w:val="0"/>
              <w:marTop w:val="0"/>
              <w:marBottom w:val="0"/>
              <w:divBdr>
                <w:top w:val="none" w:sz="0" w:space="0" w:color="auto"/>
                <w:left w:val="none" w:sz="0" w:space="0" w:color="auto"/>
                <w:bottom w:val="none" w:sz="0" w:space="0" w:color="auto"/>
                <w:right w:val="none" w:sz="0" w:space="0" w:color="auto"/>
              </w:divBdr>
            </w:div>
            <w:div w:id="1895966968">
              <w:marLeft w:val="0"/>
              <w:marRight w:val="0"/>
              <w:marTop w:val="0"/>
              <w:marBottom w:val="0"/>
              <w:divBdr>
                <w:top w:val="none" w:sz="0" w:space="0" w:color="auto"/>
                <w:left w:val="none" w:sz="0" w:space="0" w:color="auto"/>
                <w:bottom w:val="none" w:sz="0" w:space="0" w:color="auto"/>
                <w:right w:val="none" w:sz="0" w:space="0" w:color="auto"/>
              </w:divBdr>
            </w:div>
            <w:div w:id="11991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8771">
      <w:bodyDiv w:val="1"/>
      <w:marLeft w:val="0"/>
      <w:marRight w:val="0"/>
      <w:marTop w:val="0"/>
      <w:marBottom w:val="0"/>
      <w:divBdr>
        <w:top w:val="none" w:sz="0" w:space="0" w:color="auto"/>
        <w:left w:val="none" w:sz="0" w:space="0" w:color="auto"/>
        <w:bottom w:val="none" w:sz="0" w:space="0" w:color="auto"/>
        <w:right w:val="none" w:sz="0" w:space="0" w:color="auto"/>
      </w:divBdr>
      <w:divsChild>
        <w:div w:id="849754246">
          <w:marLeft w:val="0"/>
          <w:marRight w:val="0"/>
          <w:marTop w:val="0"/>
          <w:marBottom w:val="0"/>
          <w:divBdr>
            <w:top w:val="none" w:sz="0" w:space="0" w:color="auto"/>
            <w:left w:val="none" w:sz="0" w:space="0" w:color="auto"/>
            <w:bottom w:val="none" w:sz="0" w:space="0" w:color="auto"/>
            <w:right w:val="none" w:sz="0" w:space="0" w:color="auto"/>
          </w:divBdr>
        </w:div>
        <w:div w:id="2135368060">
          <w:marLeft w:val="0"/>
          <w:marRight w:val="0"/>
          <w:marTop w:val="0"/>
          <w:marBottom w:val="0"/>
          <w:divBdr>
            <w:top w:val="none" w:sz="0" w:space="0" w:color="auto"/>
            <w:left w:val="none" w:sz="0" w:space="0" w:color="auto"/>
            <w:bottom w:val="none" w:sz="0" w:space="0" w:color="auto"/>
            <w:right w:val="none" w:sz="0" w:space="0" w:color="auto"/>
          </w:divBdr>
        </w:div>
      </w:divsChild>
    </w:div>
    <w:div w:id="1694769473">
      <w:bodyDiv w:val="1"/>
      <w:marLeft w:val="0"/>
      <w:marRight w:val="0"/>
      <w:marTop w:val="0"/>
      <w:marBottom w:val="0"/>
      <w:divBdr>
        <w:top w:val="none" w:sz="0" w:space="0" w:color="auto"/>
        <w:left w:val="none" w:sz="0" w:space="0" w:color="auto"/>
        <w:bottom w:val="none" w:sz="0" w:space="0" w:color="auto"/>
        <w:right w:val="none" w:sz="0" w:space="0" w:color="auto"/>
      </w:divBdr>
      <w:divsChild>
        <w:div w:id="1966308174">
          <w:marLeft w:val="0"/>
          <w:marRight w:val="0"/>
          <w:marTop w:val="0"/>
          <w:marBottom w:val="0"/>
          <w:divBdr>
            <w:top w:val="none" w:sz="0" w:space="0" w:color="auto"/>
            <w:left w:val="none" w:sz="0" w:space="0" w:color="auto"/>
            <w:bottom w:val="none" w:sz="0" w:space="0" w:color="auto"/>
            <w:right w:val="none" w:sz="0" w:space="0" w:color="auto"/>
          </w:divBdr>
          <w:divsChild>
            <w:div w:id="1857305550">
              <w:marLeft w:val="0"/>
              <w:marRight w:val="0"/>
              <w:marTop w:val="0"/>
              <w:marBottom w:val="0"/>
              <w:divBdr>
                <w:top w:val="none" w:sz="0" w:space="0" w:color="auto"/>
                <w:left w:val="none" w:sz="0" w:space="0" w:color="auto"/>
                <w:bottom w:val="none" w:sz="0" w:space="0" w:color="auto"/>
                <w:right w:val="none" w:sz="0" w:space="0" w:color="auto"/>
              </w:divBdr>
              <w:divsChild>
                <w:div w:id="2654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01110">
          <w:marLeft w:val="0"/>
          <w:marRight w:val="0"/>
          <w:marTop w:val="0"/>
          <w:marBottom w:val="0"/>
          <w:divBdr>
            <w:top w:val="none" w:sz="0" w:space="0" w:color="auto"/>
            <w:left w:val="none" w:sz="0" w:space="0" w:color="auto"/>
            <w:bottom w:val="none" w:sz="0" w:space="0" w:color="auto"/>
            <w:right w:val="none" w:sz="0" w:space="0" w:color="auto"/>
          </w:divBdr>
          <w:divsChild>
            <w:div w:id="892934505">
              <w:marLeft w:val="0"/>
              <w:marRight w:val="0"/>
              <w:marTop w:val="0"/>
              <w:marBottom w:val="0"/>
              <w:divBdr>
                <w:top w:val="none" w:sz="0" w:space="0" w:color="auto"/>
                <w:left w:val="none" w:sz="0" w:space="0" w:color="auto"/>
                <w:bottom w:val="none" w:sz="0" w:space="0" w:color="auto"/>
                <w:right w:val="none" w:sz="0" w:space="0" w:color="auto"/>
              </w:divBdr>
              <w:divsChild>
                <w:div w:id="3134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5790">
          <w:marLeft w:val="0"/>
          <w:marRight w:val="0"/>
          <w:marTop w:val="0"/>
          <w:marBottom w:val="0"/>
          <w:divBdr>
            <w:top w:val="none" w:sz="0" w:space="0" w:color="auto"/>
            <w:left w:val="none" w:sz="0" w:space="0" w:color="auto"/>
            <w:bottom w:val="none" w:sz="0" w:space="0" w:color="auto"/>
            <w:right w:val="none" w:sz="0" w:space="0" w:color="auto"/>
          </w:divBdr>
          <w:divsChild>
            <w:div w:id="1149905587">
              <w:marLeft w:val="0"/>
              <w:marRight w:val="0"/>
              <w:marTop w:val="0"/>
              <w:marBottom w:val="0"/>
              <w:divBdr>
                <w:top w:val="none" w:sz="0" w:space="0" w:color="auto"/>
                <w:left w:val="none" w:sz="0" w:space="0" w:color="auto"/>
                <w:bottom w:val="none" w:sz="0" w:space="0" w:color="auto"/>
                <w:right w:val="none" w:sz="0" w:space="0" w:color="auto"/>
              </w:divBdr>
            </w:div>
            <w:div w:id="541214318">
              <w:marLeft w:val="0"/>
              <w:marRight w:val="0"/>
              <w:marTop w:val="0"/>
              <w:marBottom w:val="0"/>
              <w:divBdr>
                <w:top w:val="none" w:sz="0" w:space="0" w:color="auto"/>
                <w:left w:val="none" w:sz="0" w:space="0" w:color="auto"/>
                <w:bottom w:val="none" w:sz="0" w:space="0" w:color="auto"/>
                <w:right w:val="none" w:sz="0" w:space="0" w:color="auto"/>
              </w:divBdr>
            </w:div>
            <w:div w:id="2068144589">
              <w:marLeft w:val="0"/>
              <w:marRight w:val="0"/>
              <w:marTop w:val="0"/>
              <w:marBottom w:val="0"/>
              <w:divBdr>
                <w:top w:val="none" w:sz="0" w:space="0" w:color="auto"/>
                <w:left w:val="none" w:sz="0" w:space="0" w:color="auto"/>
                <w:bottom w:val="none" w:sz="0" w:space="0" w:color="auto"/>
                <w:right w:val="none" w:sz="0" w:space="0" w:color="auto"/>
              </w:divBdr>
            </w:div>
            <w:div w:id="734089618">
              <w:marLeft w:val="0"/>
              <w:marRight w:val="0"/>
              <w:marTop w:val="0"/>
              <w:marBottom w:val="0"/>
              <w:divBdr>
                <w:top w:val="none" w:sz="0" w:space="0" w:color="auto"/>
                <w:left w:val="none" w:sz="0" w:space="0" w:color="auto"/>
                <w:bottom w:val="none" w:sz="0" w:space="0" w:color="auto"/>
                <w:right w:val="none" w:sz="0" w:space="0" w:color="auto"/>
              </w:divBdr>
            </w:div>
            <w:div w:id="1600023165">
              <w:marLeft w:val="0"/>
              <w:marRight w:val="0"/>
              <w:marTop w:val="0"/>
              <w:marBottom w:val="0"/>
              <w:divBdr>
                <w:top w:val="none" w:sz="0" w:space="0" w:color="auto"/>
                <w:left w:val="none" w:sz="0" w:space="0" w:color="auto"/>
                <w:bottom w:val="none" w:sz="0" w:space="0" w:color="auto"/>
                <w:right w:val="none" w:sz="0" w:space="0" w:color="auto"/>
              </w:divBdr>
            </w:div>
            <w:div w:id="1434324309">
              <w:marLeft w:val="0"/>
              <w:marRight w:val="0"/>
              <w:marTop w:val="0"/>
              <w:marBottom w:val="0"/>
              <w:divBdr>
                <w:top w:val="none" w:sz="0" w:space="0" w:color="auto"/>
                <w:left w:val="none" w:sz="0" w:space="0" w:color="auto"/>
                <w:bottom w:val="none" w:sz="0" w:space="0" w:color="auto"/>
                <w:right w:val="none" w:sz="0" w:space="0" w:color="auto"/>
              </w:divBdr>
            </w:div>
            <w:div w:id="111483842">
              <w:marLeft w:val="0"/>
              <w:marRight w:val="0"/>
              <w:marTop w:val="0"/>
              <w:marBottom w:val="0"/>
              <w:divBdr>
                <w:top w:val="none" w:sz="0" w:space="0" w:color="auto"/>
                <w:left w:val="none" w:sz="0" w:space="0" w:color="auto"/>
                <w:bottom w:val="none" w:sz="0" w:space="0" w:color="auto"/>
                <w:right w:val="none" w:sz="0" w:space="0" w:color="auto"/>
              </w:divBdr>
            </w:div>
            <w:div w:id="16350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ACAB5-D0CF-4639-AF33-660A95CB5978}"/>
</file>

<file path=customXml/itemProps2.xml><?xml version="1.0" encoding="utf-8"?>
<ds:datastoreItem xmlns:ds="http://schemas.openxmlformats.org/officeDocument/2006/customXml" ds:itemID="{50004E08-7A0C-49A5-A4C9-9081246AEA33}"/>
</file>

<file path=customXml/itemProps3.xml><?xml version="1.0" encoding="utf-8"?>
<ds:datastoreItem xmlns:ds="http://schemas.openxmlformats.org/officeDocument/2006/customXml" ds:itemID="{67B3FE47-8E41-4480-9C5C-29EE0568BDEA}"/>
</file>

<file path=docProps/app.xml><?xml version="1.0" encoding="utf-8"?>
<Properties xmlns="http://schemas.openxmlformats.org/officeDocument/2006/extended-properties" xmlns:vt="http://schemas.openxmlformats.org/officeDocument/2006/docPropsVTypes">
  <Template>Normal</Template>
  <TotalTime>14</TotalTime>
  <Pages>12</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2024-11-26T02:42:00Z</dcterms:created>
  <dcterms:modified xsi:type="dcterms:W3CDTF">2024-11-26T02:56:00Z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